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Радиотерапия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Радиотерапия | Записей: 1 | Кейс: 2 | Вопросов: 12</w:t>
      </w:r>
    </w:p>
    <w:p>
      <w:r>
        <w:br w:type="page"/>
      </w:r>
    </w:p>
    <w:p>
      <w:pPr>
        <w:pStyle w:val="Heading1"/>
      </w:pPr>
      <w:r>
        <w:t>Радиотерапия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Радиотерапия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54 лет обратился к врачу радиотерапевту по направлению онколога.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снижение слуха на левое ухо, периодически дискомфорт при глотании, дискомфорт в эпигастральной области, образование в области верхней трети шеи слева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Пациент самостоятельно обнаружил опухоль в области верхней трети шеи, обследовался по месту жительства, проводилась антибактериальная противовоспалительная терапия без эффекта. Выполнено МСКТ (по данным МСКТ - образование размером 35 х 36 х 40 мм распространяющееся по основанию черепа; также поражены регионарные лимфоузлы), МРТ головы, шеи: образование носоглотки размером 36х38х41 мм. По данным пункции лимфоузла шеи низкодифференцированная аденокарцинома. Консультирован онкологом, хирургом. Хирургическое лечение не показано по причине наличия персистирующей формы фибрилляции предсердий. Рекомендована консультация радиотерапевта.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Персистирующая фибрилляция предсердий; Курит 30 лет 1,5 пачки в день, в настоящее время 10 сигарет, алкоголем не злоупотребляет, наркотики не принимает;</w:t>
      </w:r>
    </w:p>
    <w:p>
      <w:pPr>
        <w:spacing w:after="58"/>
      </w:pPr>
      <w:r>
        <w:rPr>
          <w:b w:val="0"/>
          <w:i w:val="0"/>
        </w:rPr>
        <w:t>* Профессиональных вредностей не было;</w:t>
      </w:r>
    </w:p>
    <w:p>
      <w:pPr>
        <w:spacing w:after="58"/>
      </w:pPr>
      <w:r>
        <w:rPr>
          <w:b w:val="0"/>
          <w:i w:val="0"/>
        </w:rPr>
        <w:t>* Аллергических реакций не наблюдается;</w:t>
      </w:r>
    </w:p>
    <w:p>
      <w:pPr>
        <w:spacing w:after="58"/>
      </w:pPr>
      <w:r>
        <w:rPr>
          <w:b w:val="0"/>
          <w:i w:val="0"/>
        </w:rPr>
        <w:t>* У отца язвенная болезнь желудка, мать здорова.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Состояние относительно удовлетворительное. Рост 190, вес 105 кг. Кожные покровы обычной окраски и влажности. При пальпации шеи отмечаются увеличенные до 2-3 см подчелюстные, шейные лимфатические узлы. Периферических отеков нет. Дыхание везикулярное. ЧДД 15 в минуту. Тоны сердца ритмичные, ЧСС 72 в мин, АД 120/70 мм.рт.ст. Живот мягкий, безболезненный. Печень по краю реберной дуги. Мочеиспускание не учащено, безболезненное.</w:t>
      </w:r>
    </w:p>
    <w:p>
      <w:pPr>
        <w:spacing w:after="58"/>
      </w:pPr>
      <w:r>
        <w:rPr>
          <w:b w:val="0"/>
          <w:i w:val="0"/>
        </w:rPr>
        <w:t>* Общемозговых и менингеальных знаков нет. На момент поступления индекс Карновского 80%.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Рекомендуемым методом исследования регионарных лимфатических узлов при раке носоглотки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пальпация шеи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УЗИ лимфатических узлов шеи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КТ головы и шеи с внутривенным контрастированием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пункцию непальпируемых лимфатических узлов под контролем УЗИ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лимфосцинтиграфия лимфоузлов шеи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УЗИ лимфатических узлов шеи; пункцию непальпируемых лимфатических узлов под контролем УЗИ</w:t>
      </w:r>
    </w:p>
    <w:p>
      <w:pPr>
        <w:ind w:left="504"/>
      </w:pPr>
      <w:r>
        <w:rPr>
          <w:b w:val="0"/>
          <w:i/>
        </w:rPr>
        <w:t>2.4 Инструментальная диагностика</w:t>
        <w:br/>
        <w:br/>
        <w:t>Рекомендуется выполнить УЗИ лимфатических узлов шеи с пункцией непальпируемых лимфатических узлов.</w:t>
        <w:br/>
        <w:br/>
      </w:r>
      <w:hyperlink r:id="rId9">
        <w:r>
          <w:rPr>
            <w:color w:val="0F766E"/>
            <w:u w:val="single"/>
          </w:rPr>
          <w:t>Клинические рекомендации «Рак носоглотки»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(2)</w:t>
        </w:r>
      </w:hyperlink>
    </w:p>
    <w:p>
      <w:pPr>
        <w:ind w:left="504"/>
      </w:pPr>
      <w:r>
        <w:rPr>
          <w:b w:val="0"/>
          <w:i/>
        </w:rPr>
        <w:t>2.4 Инструментальная диагностика</w:t>
        <w:br/>
        <w:br/>
        <w:t>Рекомендуется выполнить УЗИ лимфатических узлов шеи с пункцией непальпируемых лимфатических узлов.</w:t>
        <w:br/>
        <w:br/>
      </w:r>
      <w:hyperlink r:id="rId9">
        <w:r>
          <w:rPr>
            <w:color w:val="0F766E"/>
            <w:u w:val="single"/>
          </w:rPr>
          <w:t>Клинические рекомендации «Рак носоглотки»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3.3. КТ головы и шеи с внутривенным контрастированием</w:t>
      </w:r>
    </w:p>
    <w:p>
      <w:r>
        <w:drawing>
          <wp:inline xmlns:a="http://schemas.openxmlformats.org/drawingml/2006/main" xmlns:pic="http://schemas.openxmlformats.org/drawingml/2006/picture">
            <wp:extent cx="5303520" cy="5592464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9fa081386462650cfeade534bbdaaafc603df943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59246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КТ головы и шеи с внутривенным контрастированием</w:t>
      </w:r>
    </w:p>
    <w:p>
      <w:pPr>
        <w:spacing w:after="58"/>
      </w:pPr>
      <w:r>
        <w:rPr>
          <w:b w:val="0"/>
          <w:i w:val="0"/>
        </w:rPr>
        <w:t>{nbsp}</w:t>
      </w:r>
    </w:p>
    <w:p>
      <w:pPr>
        <w:spacing w:after="58"/>
      </w:pPr>
      <w:r>
        <w:rPr>
          <w:b w:val="0"/>
          <w:i w:val="0"/>
        </w:rPr>
        <w:t>Cr левой половины носоглотки с лимфаденопатией шеи, без интракраниального распространения.</w:t>
      </w:r>
    </w:p>
    <w:p>
      <w:pPr>
        <w:pStyle w:val="Heading3"/>
      </w:pPr>
      <w:r>
        <w:t>3.4. Пальпация шеи</w:t>
      </w:r>
    </w:p>
    <w:p>
      <w:pPr>
        <w:spacing w:after="58"/>
      </w:pPr>
      <w:r>
        <w:rPr>
          <w:b w:val="0"/>
          <w:i w:val="0"/>
        </w:rPr>
        <w:t>При пальпации шеи отмечаются увеличенные до 2-3 см поднижечелюстные, шейные лимфатические узлы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К дополнительным методам диагностики при обследовании пациента с раком носоглотки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УЗИ лимфатических узлов шеи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определение ДНК HPV 16 и 18 подтипов в опухоли методом ПЦР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КТ костей лицевого скелета с внутривенным контрастированием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мазок из зева на флору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определение ДНК HPV 16 и 18 подтипов в опухоли методом ПЦР</w:t>
      </w:r>
    </w:p>
    <w:p>
      <w:pPr>
        <w:ind w:left="504"/>
      </w:pPr>
      <w:r>
        <w:rPr>
          <w:b w:val="0"/>
          <w:i/>
        </w:rPr>
        <w:t>2.5 Иная диагностика</w:t>
        <w:br/>
        <w:br/>
        <w:t>К дополнительным методам исследования относится определение ДНК HPV 16 и 18 подтипов в опухоли методом ПЦР</w:t>
        <w:br/>
        <w:br/>
      </w:r>
      <w:hyperlink r:id="rId9">
        <w:r>
          <w:rPr>
            <w:color w:val="0F766E"/>
            <w:u w:val="single"/>
          </w:rPr>
          <w:t>Клинические рекомендации «Рак носоглотки»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обследования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Для более точного стадирования и исключения генерализации опухоли наиболее информативным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рентгенограмма головы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остеосцинтиграфия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ПЭТ-КТ с аминокислотами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ПЭТ-КТ с фтордезоксиглюкозой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ПЭТ-КТ с фтордезоксиглюкозой</w:t>
      </w:r>
    </w:p>
    <w:p>
      <w:pPr>
        <w:ind w:left="504"/>
      </w:pPr>
      <w:r>
        <w:rPr>
          <w:b w:val="0"/>
          <w:i/>
        </w:rPr>
        <w:t>{nbsp}</w:t>
        <w:br/>
        <w:br/>
        <w:t>По данным ПЭТ-КТ – определяются метаболически активные шейные лимфоузлы с накоплением радиофармпрепарата.</w:t>
      </w:r>
    </w:p>
    <w:p>
      <w:pPr>
        <w:pStyle w:val="Heading2"/>
      </w:pPr>
      <w:r>
        <w:t>7. Результаты обследования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При лечении данного пациента возможно применение химиолучевой терапии с использованием _____ в качестве радиосенсибилизатора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этопозида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доксорубицина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винбластина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цисплатина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цисплатина</w:t>
      </w:r>
    </w:p>
    <w:p>
      <w:pPr>
        <w:ind w:left="504"/>
      </w:pPr>
      <w:r>
        <w:rPr>
          <w:b w:val="0"/>
          <w:i/>
        </w:rPr>
        <w:t>Одновременная самостоятельная ХЛТ. Цисплатин (предпочтительно)</w:t>
        <w:br/>
        <w:br/>
      </w:r>
      <w:hyperlink r:id="rId14">
        <w:r>
          <w:rPr>
            <w:color w:val="0F766E"/>
            <w:u w:val="single"/>
          </w:rPr>
          <w:t>Клинические рекомендации «Рак носоглотки»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Техническим приемом, улучшающим визуализацию опухоли носоглотки при планировании лучевой терапии, является совмещение КТ с данными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МРТ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МСКТ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остеосцинтиграфии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ПЭТ-КТ с метионином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МРТ</w:t>
      </w:r>
    </w:p>
    <w:p>
      <w:pPr>
        <w:ind w:left="504"/>
      </w:pPr>
      <w:r>
        <w:rPr>
          <w:b w:val="0"/>
          <w:i/>
        </w:rPr>
        <w:t>Для лучшей визуализации и уточнения границ мишени применяют совмещение КТ с МРТ снимками.</w:t>
        <w:br/>
        <w:br/>
        <w:t>Каприн А.Д., Мардынский Ю.С., Терапевтическая радиология, ГЭОТАР-Медиа, 2018 г. с 218.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При подготовке пациента к лучевой терапии рекомендовано изготовление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фиксирующего матраца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термопластического тканеэвивалентного болюса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каппы для зубов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термопластической фиксирующей маски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термопластической фиксирующей маски</w:t>
      </w:r>
    </w:p>
    <w:p>
      <w:pPr>
        <w:ind w:left="504"/>
      </w:pPr>
      <w:r>
        <w:rPr>
          <w:b w:val="0"/>
          <w:i/>
        </w:rPr>
        <w:t>С целью обеспечения надежной фиксации головы пациента рекомендуется изготовление индивидуальной термопластической фиксирующей маска.</w:t>
        <w:br/>
        <w:br/>
        <w:t>Каприн А.Д., Мардынский Ю.С., Терапевтическая радиология, ГЭОТАР-Медиа, 2018 г. с 220.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При проведении лучевой терапии, как единственного метода лечения, к опухоли и лимфоузлам подводится суммарная очаговая доза, равная +_____+ Гр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50-56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30-36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66-70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46-50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66-70</w:t>
      </w:r>
    </w:p>
    <w:p>
      <w:pPr>
        <w:ind w:left="504"/>
      </w:pPr>
      <w:r>
        <w:rPr>
          <w:b w:val="0"/>
          <w:i/>
        </w:rPr>
        <w:t>Рекомендована ЛТ на первичный очаг и клинически определяемые регионарные метастазы 66-70Гр</w:t>
        <w:br/>
        <w:br/>
      </w:r>
      <w:hyperlink r:id="rId14">
        <w:r>
          <w:rPr>
            <w:color w:val="0F766E"/>
            <w:u w:val="single"/>
          </w:rPr>
          <w:t>Клинические рекомендации «Рак носоглотки»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Для послеоперационной лучевой терапии при раке носоглотки высокого риска рекомендуется СОД +_____+ Гр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70-76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46-50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50-56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60-66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60-66</w:t>
      </w:r>
    </w:p>
    <w:p>
      <w:pPr>
        <w:ind w:left="504"/>
      </w:pPr>
      <w:r>
        <w:rPr>
          <w:b w:val="0"/>
          <w:i/>
        </w:rPr>
        <w:t>При наличии опухоли высокого риска проводится лучевая терапии с РОД 60-66 Гр</w:t>
        <w:br/>
        <w:br/>
      </w:r>
      <w:hyperlink r:id="rId14">
        <w:r>
          <w:rPr>
            <w:color w:val="0F766E"/>
            <w:u w:val="single"/>
          </w:rPr>
          <w:t>Клинические рекомендации «Рак носоглотки»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Отступ на клинический объем мишени высокого риска для первичной опухоли носоглотки (CTV), согласно современным рекомендациям составляет +________+ мм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5-10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15-20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20-30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1-3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5-10</w:t>
      </w:r>
    </w:p>
    <w:p>
      <w:pPr>
        <w:ind w:left="504"/>
      </w:pPr>
      <w:r>
        <w:rPr>
          <w:b w:val="0"/>
          <w:i/>
        </w:rPr>
        <w:t>«Клинический объем высокого риска (CTV1) - в объем входит GTV + 5-10 мм (исключая непораженную кость).»</w:t>
        <w:br/>
        <w:br/>
        <w:t>Ссылка на источник:</w:t>
        <w:br/>
        <w:br/>
        <w:t>Каприн А.Д., Терапевтическая радиология [Электронный ресурс]: национальное руководство / Каприн А.Д., Мардынский Ю.С. - М. : ГЭОТАР-Медиа, 2018. - 704 с. - ISBN 978-5-9704-4658-4.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При раке носоглотки интервал между оперативным вмешательством и началом послеоперационной ЛТ не должен превышать +___+ недель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6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8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</w:t>
      </w:r>
    </w:p>
    <w:p>
      <w:pPr>
        <w:ind w:left="504"/>
      </w:pPr>
      <w:r>
        <w:rPr>
          <w:b w:val="0"/>
          <w:i/>
        </w:rPr>
        <w:t>Интервал между оперативным вмешательством и сроком начала послеоперационной ЛТ не должен превышать 6 недель</w:t>
        <w:br/>
        <w:br/>
      </w:r>
      <w:hyperlink r:id="rId14">
        <w:r>
          <w:rPr>
            <w:color w:val="0F766E"/>
            <w:u w:val="single"/>
          </w:rPr>
          <w:t>Клинические рекомендации «Рак носоглотки»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При превышении предельной допустимой дозы облучения на улитку возможно развитие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нейросенсорной тугоухости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среднего отита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разрыва барабанной перепонки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остеонекроза стенок барабанной полости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нейросенсорной тугоухости</w:t>
      </w:r>
    </w:p>
    <w:p>
      <w:pPr>
        <w:ind w:left="504"/>
      </w:pPr>
      <w:r>
        <w:rPr>
          <w:b w:val="0"/>
          <w:i/>
        </w:rPr>
        <w:t>Нарушение слуха ассоциируется с острым лучевым повреждением слухового анализатора при превышении толерантной дозы.</w:t>
        <w:br/>
        <w:br/>
        <w:t>Каприн А.Д., Мардынский Ю.С., Терапевтическая радиология, ГЭОТАР-Медиа, 2018 г. с 228.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В течение двух лет после завершения лечения контрольное обследование у пациентов с раком ротоглотки рекомендуется проводить каждые +_____+ месяцев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3-6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8 - 10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10 - 12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12 – 18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3-6</w:t>
      </w:r>
    </w:p>
    <w:p>
      <w:pPr>
        <w:ind w:left="504"/>
      </w:pPr>
      <w:r>
        <w:rPr>
          <w:b w:val="0"/>
          <w:i/>
        </w:rPr>
        <w:t>Первые 1-2 года физикальный осмотр и сбор жалоб рекомендуется проводить каждые 3 - 6 месяцев, на сроке 3-5 лет – 1 раз в 6-12 месяцев. После 5 лет с момента операции визиты один раз в год или при появлении жалоб.</w:t>
        <w:br/>
        <w:br/>
      </w:r>
      <w:hyperlink r:id="rId14">
        <w:r>
          <w:rPr>
            <w:color w:val="0F766E"/>
            <w:u w:val="single"/>
          </w:rPr>
          <w:t>Клинические рекомендации «Рак носоглотки»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drawing>
          <wp:inline xmlns:a="http://schemas.openxmlformats.org/drawingml/2006/main" xmlns:pic="http://schemas.openxmlformats.org/drawingml/2006/picture">
            <wp:extent cx="5303520" cy="5942784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6272cf9089dd311bfa9ac98ea5eaf5cc58a9d89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942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cr_755" TargetMode="External"/><Relationship Id="rId10" Type="http://schemas.openxmlformats.org/officeDocument/2006/relationships/hyperlink" Target="https://library.mededtech.ru/rest/documents/cr_755/#list_item_mvqo1" TargetMode="External"/><Relationship Id="rId11" Type="http://schemas.openxmlformats.org/officeDocument/2006/relationships/hyperlink" Target="https://library.mededtech.ru/rest/documents/cr_755/#list_item_29a8v" TargetMode="External"/><Relationship Id="rId12" Type="http://schemas.openxmlformats.org/officeDocument/2006/relationships/image" Target="media/image1.jpg"/><Relationship Id="rId13" Type="http://schemas.openxmlformats.org/officeDocument/2006/relationships/hyperlink" Target="https://library.mededtech.ru/rest/documents/cr_755/#list_item_t09kc" TargetMode="External"/><Relationship Id="rId14" Type="http://schemas.openxmlformats.org/officeDocument/2006/relationships/hyperlink" Target="https://library.mededtech.ru/rest/documents/rak_rotoglotki_pr2018_17/" TargetMode="External"/><Relationship Id="rId15" Type="http://schemas.openxmlformats.org/officeDocument/2006/relationships/hyperlink" Target="https://library.mededtech.ru/rest/documents/rak_rotoglotki_pr2018_17/#list_item_m1jl5" TargetMode="External"/><Relationship Id="rId16" Type="http://schemas.openxmlformats.org/officeDocument/2006/relationships/hyperlink" Target="https://library.mededtech.ru/rest/documents/rak_rotoglotki_pr2018_17/#list_item_a0o5t" TargetMode="External"/><Relationship Id="rId17" Type="http://schemas.openxmlformats.org/officeDocument/2006/relationships/hyperlink" Target="https://library.mededtech.ru/rest/documents/rak_rotoglotki_pr2018_17/#paragraph_d1b53" TargetMode="External"/><Relationship Id="rId18" Type="http://schemas.openxmlformats.org/officeDocument/2006/relationships/hyperlink" Target="https://library.mededtech.ru/rest/documents/rak_rotoglotki_pr2018_17/#paragraph_k7jq8" TargetMode="External"/><Relationship Id="rId1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